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428" w:rsidRPr="001A1C4C" w:rsidRDefault="00202428" w:rsidP="00202428">
      <w:pPr>
        <w:pStyle w:val="Prrafodelista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outlineLvl w:val="1"/>
        <w:rPr>
          <w:rFonts w:ascii="Arial" w:eastAsia="Times New Roman" w:hAnsi="Arial" w:cs="Arial"/>
          <w:sz w:val="24"/>
          <w:szCs w:val="18"/>
          <w:lang w:val="es-MX" w:eastAsia="es-MX"/>
        </w:rPr>
      </w:pPr>
      <w:bookmarkStart w:id="0" w:name="_Toc510440045"/>
      <w:r w:rsidRPr="001A1C4C">
        <w:rPr>
          <w:rFonts w:ascii="Arial" w:eastAsia="Times New Roman" w:hAnsi="Arial" w:cs="Arial"/>
          <w:sz w:val="24"/>
          <w:szCs w:val="18"/>
          <w:lang w:val="es-MX" w:eastAsia="es-MX"/>
        </w:rPr>
        <w:t>Anexo 2 “Procedimiento para la actualización de la base de datos de beneficiarios”.</w:t>
      </w:r>
      <w:bookmarkEnd w:id="0"/>
    </w:p>
    <w:p w:rsidR="00202428" w:rsidRPr="00655263" w:rsidRDefault="00202428" w:rsidP="00202428">
      <w:pPr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</w:p>
    <w:p w:rsidR="00202428" w:rsidRPr="0099083C" w:rsidRDefault="00202428" w:rsidP="00202428">
      <w:pPr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 xml:space="preserve">Actualmente el programa cuenta </w:t>
      </w:r>
      <w:r w:rsidR="00655263" w:rsidRPr="00655263">
        <w:rPr>
          <w:rFonts w:ascii="Arial" w:eastAsia="Times" w:hAnsi="Arial" w:cs="Arial"/>
          <w:sz w:val="24"/>
          <w:szCs w:val="24"/>
          <w:lang w:val="es-ES_tradnl" w:eastAsia="es-ES"/>
        </w:rPr>
        <w:t>dos Padrones: el Padrón de Actores Sociales (S155) y el Padrón de Poblaciones Beneficiarias en Áreas de Atención Social (0748)</w:t>
      </w:r>
      <w:r w:rsidR="00655263">
        <w:rPr>
          <w:rFonts w:ascii="Arial" w:eastAsia="Times" w:hAnsi="Arial" w:cs="Arial"/>
          <w:sz w:val="24"/>
          <w:szCs w:val="24"/>
          <w:lang w:val="es-ES_tradnl" w:eastAsia="es-ES"/>
        </w:rPr>
        <w:t>. E</w:t>
      </w:r>
      <w:r>
        <w:rPr>
          <w:rFonts w:ascii="Arial" w:eastAsia="Times" w:hAnsi="Arial" w:cs="Arial"/>
          <w:sz w:val="24"/>
          <w:szCs w:val="24"/>
        </w:rPr>
        <w:t>l Padrón de Beneficiarios de Actores Sociales Intermediarios está conformado por las IMEF que</w:t>
      </w:r>
      <w:r w:rsidRPr="00AD4FE2">
        <w:rPr>
          <w:rFonts w:ascii="Arial" w:eastAsia="Times" w:hAnsi="Arial" w:cs="Arial"/>
          <w:sz w:val="24"/>
          <w:szCs w:val="24"/>
          <w:lang w:val="es-ES_tradnl" w:eastAsia="es-ES"/>
        </w:rPr>
        <w:t xml:space="preserve"> presenta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n</w:t>
      </w:r>
      <w:r w:rsidRPr="00AD4FE2">
        <w:rPr>
          <w:rFonts w:ascii="Arial" w:eastAsia="Times" w:hAnsi="Arial" w:cs="Arial"/>
          <w:sz w:val="24"/>
          <w:szCs w:val="24"/>
          <w:lang w:val="es-ES_tradnl" w:eastAsia="es-ES"/>
        </w:rPr>
        <w:t xml:space="preserve"> su programa anual para participar en el PAIMEF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. Del programa que presentan</w:t>
      </w:r>
      <w:r w:rsidRPr="00AD4FE2">
        <w:rPr>
          <w:rFonts w:ascii="Arial" w:eastAsia="Times" w:hAnsi="Arial" w:cs="Arial"/>
          <w:sz w:val="24"/>
          <w:szCs w:val="24"/>
          <w:lang w:val="es-ES_tradnl" w:eastAsia="es-ES"/>
        </w:rPr>
        <w:t xml:space="preserve"> se extraen los datos que integran varias de las variables que conforman el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p</w:t>
      </w:r>
      <w:r w:rsidRPr="00AD4FE2">
        <w:rPr>
          <w:rFonts w:ascii="Arial" w:eastAsia="Times" w:hAnsi="Arial" w:cs="Arial"/>
          <w:sz w:val="24"/>
          <w:szCs w:val="24"/>
          <w:lang w:val="es-ES_tradnl" w:eastAsia="es-ES"/>
        </w:rPr>
        <w:t xml:space="preserve">adrón conforme al décimo lineamiento para la integración del Padrón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Único </w:t>
      </w:r>
      <w:r w:rsidRPr="00AD4FE2">
        <w:rPr>
          <w:rFonts w:ascii="Arial" w:eastAsia="Times" w:hAnsi="Arial" w:cs="Arial"/>
          <w:sz w:val="24"/>
          <w:szCs w:val="24"/>
          <w:lang w:val="es-ES_tradnl" w:eastAsia="es-ES"/>
        </w:rPr>
        <w:t xml:space="preserve">de Beneficiarios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(PUB). Esta información es, </w:t>
      </w:r>
      <w:r w:rsidRPr="00AD4FE2">
        <w:rPr>
          <w:rFonts w:ascii="Arial" w:eastAsia="Times" w:hAnsi="Arial" w:cs="Arial"/>
          <w:sz w:val="24"/>
          <w:szCs w:val="24"/>
          <w:lang w:val="es-ES_tradnl" w:eastAsia="es-ES"/>
        </w:rPr>
        <w:t>a lo más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,</w:t>
      </w:r>
      <w:r w:rsidR="0089286E">
        <w:rPr>
          <w:rFonts w:ascii="Arial" w:eastAsia="Times" w:hAnsi="Arial" w:cs="Arial"/>
          <w:sz w:val="24"/>
          <w:szCs w:val="24"/>
          <w:lang w:val="es-ES_tradnl" w:eastAsia="es-ES"/>
        </w:rPr>
        <w:t xml:space="preserve">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de</w:t>
      </w:r>
      <w:r w:rsidR="0089286E">
        <w:rPr>
          <w:rFonts w:ascii="Arial" w:eastAsia="Times" w:hAnsi="Arial" w:cs="Arial"/>
          <w:sz w:val="24"/>
          <w:szCs w:val="24"/>
          <w:lang w:val="es-ES_tradnl" w:eastAsia="es-ES"/>
        </w:rPr>
        <w:t xml:space="preserve">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las </w:t>
      </w:r>
      <w:r w:rsidRPr="00AD4FE2">
        <w:rPr>
          <w:rFonts w:ascii="Arial" w:eastAsia="Times" w:hAnsi="Arial" w:cs="Arial"/>
          <w:sz w:val="24"/>
          <w:szCs w:val="24"/>
          <w:lang w:val="es-ES_tradnl" w:eastAsia="es-ES"/>
        </w:rPr>
        <w:t>32 IMEF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y</w:t>
      </w:r>
      <w:r w:rsidRPr="00AD4FE2">
        <w:rPr>
          <w:rFonts w:ascii="Arial" w:eastAsia="Times" w:hAnsi="Arial" w:cs="Arial"/>
          <w:sz w:val="24"/>
          <w:szCs w:val="24"/>
          <w:lang w:val="es-ES_tradnl" w:eastAsia="es-ES"/>
        </w:rPr>
        <w:t xml:space="preserve"> cuenta con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un </w:t>
      </w:r>
      <w:r w:rsidRPr="00AD4FE2">
        <w:rPr>
          <w:rFonts w:ascii="Arial" w:eastAsia="Times" w:hAnsi="Arial" w:cs="Arial"/>
          <w:sz w:val="24"/>
          <w:szCs w:val="24"/>
          <w:lang w:val="es-ES_tradnl" w:eastAsia="es-ES"/>
        </w:rPr>
        <w:t>identificador único que no cambia con el tiempo.</w:t>
      </w:r>
    </w:p>
    <w:p w:rsidR="00202428" w:rsidRPr="00542302" w:rsidRDefault="00202428" w:rsidP="00202428">
      <w:pPr>
        <w:jc w:val="both"/>
        <w:rPr>
          <w:rFonts w:ascii="Arial" w:eastAsia="Times" w:hAnsi="Arial" w:cs="Arial"/>
          <w:sz w:val="24"/>
          <w:szCs w:val="24"/>
        </w:rPr>
      </w:pPr>
      <w:r>
        <w:rPr>
          <w:rFonts w:ascii="Arial" w:eastAsia="Times" w:hAnsi="Arial" w:cs="Arial"/>
          <w:sz w:val="24"/>
          <w:szCs w:val="24"/>
        </w:rPr>
        <w:t>Para actualizar dicho padrón o base de datos, la unidad administrativa del PAIMEF sigue el siguiente procedimiento:</w:t>
      </w:r>
    </w:p>
    <w:p w:rsidR="00202428" w:rsidRDefault="00202428" w:rsidP="00202428">
      <w:pPr>
        <w:pStyle w:val="Prrafodelista"/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</w:p>
    <w:p w:rsidR="00202428" w:rsidRDefault="00202428" w:rsidP="00202428">
      <w:pPr>
        <w:pStyle w:val="Prrafodelista"/>
        <w:numPr>
          <w:ilvl w:val="0"/>
          <w:numId w:val="1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La Unidad Administrativa del PAIMEF deberá nombrar a un Responsable y un Enlace Operativo ante la </w:t>
      </w:r>
      <w:r w:rsidRPr="00AD4FE2">
        <w:rPr>
          <w:rFonts w:ascii="Arial" w:eastAsia="Times" w:hAnsi="Arial" w:cs="Arial"/>
          <w:sz w:val="24"/>
          <w:szCs w:val="24"/>
          <w:lang w:val="es-ES_tradnl" w:eastAsia="es-ES"/>
        </w:rPr>
        <w:t>Dirección General de Geoestadística y Padrones de Beneficiarios de la Secretaría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(DGGPB) para la integración y actualización del padrón de beneficiarios.</w:t>
      </w:r>
    </w:p>
    <w:p w:rsidR="00202428" w:rsidRDefault="00202428" w:rsidP="00202428">
      <w:pPr>
        <w:pStyle w:val="Prrafodelista"/>
        <w:numPr>
          <w:ilvl w:val="0"/>
          <w:numId w:val="1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 w:rsidRPr="00012604">
        <w:rPr>
          <w:rFonts w:ascii="Arial" w:eastAsia="Times" w:hAnsi="Arial" w:cs="Arial"/>
          <w:sz w:val="24"/>
          <w:szCs w:val="24"/>
          <w:lang w:val="es-ES_tradnl" w:eastAsia="es-ES"/>
        </w:rPr>
        <w:t xml:space="preserve">En cada uno de los trimestres: </w:t>
      </w:r>
      <w:r w:rsidRPr="00012604">
        <w:rPr>
          <w:rFonts w:ascii="Arial" w:eastAsia="Times" w:hAnsi="Arial" w:cs="Arial"/>
          <w:i/>
          <w:sz w:val="24"/>
          <w:szCs w:val="24"/>
          <w:lang w:val="es-ES_tradnl" w:eastAsia="es-ES"/>
        </w:rPr>
        <w:t>Primer trimestre enero-marzo, Segundo trimestre abril-junio, Tercer trimestre julio-septiembre y Cuarto trimestre octubre-diciembre</w:t>
      </w:r>
      <w:r w:rsidRPr="00012604">
        <w:rPr>
          <w:rFonts w:ascii="Arial" w:eastAsia="Times" w:hAnsi="Arial" w:cs="Arial"/>
          <w:sz w:val="24"/>
          <w:szCs w:val="24"/>
          <w:lang w:val="es-ES_tradnl" w:eastAsia="es-ES"/>
        </w:rPr>
        <w:t xml:space="preserve">; se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construye o </w:t>
      </w:r>
      <w:r w:rsidRPr="00012604">
        <w:rPr>
          <w:rFonts w:ascii="Arial" w:eastAsia="Times" w:hAnsi="Arial" w:cs="Arial"/>
          <w:sz w:val="24"/>
          <w:szCs w:val="24"/>
          <w:lang w:val="es-ES_tradnl" w:eastAsia="es-ES"/>
        </w:rPr>
        <w:t xml:space="preserve">actualiza el padrón de beneficiarios de Actores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S</w:t>
      </w:r>
      <w:r w:rsidRPr="00012604">
        <w:rPr>
          <w:rFonts w:ascii="Arial" w:eastAsia="Times" w:hAnsi="Arial" w:cs="Arial"/>
          <w:sz w:val="24"/>
          <w:szCs w:val="24"/>
          <w:lang w:val="es-ES_tradnl" w:eastAsia="es-ES"/>
        </w:rPr>
        <w:t xml:space="preserve">ociales conforme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a las ministraciones a través de los subsidios que otorga el PAIMEF a las IMEF. Beneficios que están registrados sin excepción con la clave 19 “Apoyo para la Operación”</w:t>
      </w:r>
      <w:r w:rsidR="0089286E">
        <w:rPr>
          <w:rFonts w:ascii="Arial" w:eastAsia="Times" w:hAnsi="Arial" w:cs="Arial"/>
          <w:sz w:val="24"/>
          <w:szCs w:val="24"/>
          <w:lang w:val="es-ES_tradnl" w:eastAsia="es-ES"/>
        </w:rPr>
        <w:t xml:space="preserve">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del campo “Clave del beneficio otorgado” (</w:t>
      </w:r>
      <w:proofErr w:type="spellStart"/>
      <w:r w:rsidRPr="00012604">
        <w:rPr>
          <w:rFonts w:ascii="Arial" w:eastAsia="Times" w:hAnsi="Arial" w:cs="Arial"/>
          <w:sz w:val="24"/>
          <w:szCs w:val="24"/>
          <w:lang w:val="es-ES_tradnl" w:eastAsia="es-ES"/>
        </w:rPr>
        <w:t>CD_Beneficio_AS</w:t>
      </w:r>
      <w:proofErr w:type="spellEnd"/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). </w:t>
      </w:r>
    </w:p>
    <w:p w:rsidR="00202428" w:rsidRDefault="00202428" w:rsidP="00202428">
      <w:pPr>
        <w:pStyle w:val="Prrafodelista"/>
        <w:numPr>
          <w:ilvl w:val="0"/>
          <w:numId w:val="1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>En caso de cualquier modificación sobre la designación</w:t>
      </w:r>
      <w:r w:rsidR="00F00C6F">
        <w:rPr>
          <w:rFonts w:ascii="Arial" w:eastAsia="Times" w:hAnsi="Arial" w:cs="Arial"/>
          <w:sz w:val="24"/>
          <w:szCs w:val="24"/>
          <w:lang w:val="es-ES_tradnl" w:eastAsia="es-ES"/>
        </w:rPr>
        <w:t xml:space="preserve"> del </w:t>
      </w:r>
      <w:proofErr w:type="gramStart"/>
      <w:r w:rsidR="00F00C6F">
        <w:rPr>
          <w:rFonts w:ascii="Arial" w:eastAsia="Times" w:hAnsi="Arial" w:cs="Arial"/>
          <w:sz w:val="24"/>
          <w:szCs w:val="24"/>
          <w:lang w:val="es-ES_tradnl" w:eastAsia="es-ES"/>
        </w:rPr>
        <w:t>Responsable</w:t>
      </w:r>
      <w:proofErr w:type="gramEnd"/>
      <w:r>
        <w:rPr>
          <w:rFonts w:ascii="Arial" w:eastAsia="Times" w:hAnsi="Arial" w:cs="Arial"/>
          <w:sz w:val="24"/>
          <w:szCs w:val="24"/>
          <w:lang w:val="es-ES_tradnl" w:eastAsia="es-ES"/>
        </w:rPr>
        <w:t>, se deberá informar dentro de los 20 días hábiles siguientes de ocurrida la modificación, o antes del envío del siguiente padrón en cuestión, lo que ocurra primero.</w:t>
      </w:r>
    </w:p>
    <w:p w:rsidR="00014D9E" w:rsidRPr="00014D9E" w:rsidRDefault="00014D9E" w:rsidP="00014D9E">
      <w:pPr>
        <w:pStyle w:val="Prrafodelista"/>
        <w:numPr>
          <w:ilvl w:val="0"/>
          <w:numId w:val="1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El </w:t>
      </w:r>
      <w:proofErr w:type="gramStart"/>
      <w:r>
        <w:rPr>
          <w:rFonts w:ascii="Arial" w:eastAsia="Times" w:hAnsi="Arial" w:cs="Arial"/>
          <w:sz w:val="24"/>
          <w:szCs w:val="24"/>
          <w:lang w:val="es-ES_tradnl" w:eastAsia="es-ES"/>
        </w:rPr>
        <w:t>Responsable</w:t>
      </w:r>
      <w:proofErr w:type="gramEnd"/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actualiza los catálogos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de la DGGPB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correspondientes en caso de ser necesario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.</w:t>
      </w:r>
    </w:p>
    <w:p w:rsidR="00014D9E" w:rsidRDefault="00202428" w:rsidP="00202428">
      <w:pPr>
        <w:pStyle w:val="Prrafodelista"/>
        <w:numPr>
          <w:ilvl w:val="0"/>
          <w:numId w:val="1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>Se entrega la información de</w:t>
      </w:r>
      <w:r w:rsidRPr="00140DB4">
        <w:rPr>
          <w:rFonts w:ascii="Arial" w:eastAsia="Times" w:hAnsi="Arial" w:cs="Arial"/>
          <w:sz w:val="24"/>
          <w:szCs w:val="24"/>
          <w:lang w:val="es-ES_tradnl" w:eastAsia="es-ES"/>
        </w:rPr>
        <w:t xml:space="preserve"> 64 de los 67 campos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del </w:t>
      </w:r>
      <w:r w:rsidRPr="00140DB4">
        <w:rPr>
          <w:rFonts w:ascii="Arial" w:eastAsia="Times" w:hAnsi="Arial" w:cs="Arial"/>
          <w:sz w:val="24"/>
          <w:szCs w:val="24"/>
          <w:lang w:val="es-ES_tradnl" w:eastAsia="es-ES"/>
        </w:rPr>
        <w:t>Padrón de Beneficiarios Actores Sociales</w:t>
      </w:r>
      <w:r w:rsidRPr="00140DB4">
        <w:rPr>
          <w:rStyle w:val="Refdenotaalpie"/>
          <w:rFonts w:ascii="Arial" w:eastAsia="Times" w:hAnsi="Arial" w:cs="Arial"/>
          <w:sz w:val="24"/>
          <w:szCs w:val="24"/>
          <w:lang w:val="es-ES_tradnl" w:eastAsia="es-ES"/>
        </w:rPr>
        <w:footnoteReference w:id="1"/>
      </w:r>
      <w:r w:rsidRPr="00140DB4">
        <w:rPr>
          <w:rFonts w:ascii="Arial" w:eastAsia="Times" w:hAnsi="Arial" w:cs="Arial"/>
          <w:sz w:val="24"/>
          <w:szCs w:val="24"/>
          <w:lang w:val="es-ES_tradnl" w:eastAsia="es-ES"/>
        </w:rPr>
        <w:t xml:space="preserve"> (PBAS) del PAIMEF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a la DGGPB.</w:t>
      </w:r>
    </w:p>
    <w:p w:rsidR="00202428" w:rsidRDefault="00202428" w:rsidP="00202428">
      <w:pPr>
        <w:pStyle w:val="Prrafodelista"/>
        <w:numPr>
          <w:ilvl w:val="0"/>
          <w:numId w:val="1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>La DGGPB verifica que la información cumpla con los requerimientos establecidos en los Lineamiento</w:t>
      </w:r>
      <w:r w:rsidR="0089286E">
        <w:rPr>
          <w:rFonts w:ascii="Arial" w:eastAsia="Times" w:hAnsi="Arial" w:cs="Arial"/>
          <w:sz w:val="24"/>
          <w:szCs w:val="24"/>
          <w:lang w:val="es-ES_tradnl" w:eastAsia="es-ES"/>
        </w:rPr>
        <w:t>s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para la integración del PUB.</w:t>
      </w:r>
    </w:p>
    <w:p w:rsidR="00202428" w:rsidRPr="00012604" w:rsidRDefault="00202428" w:rsidP="00202428">
      <w:pPr>
        <w:pStyle w:val="Prrafodelista"/>
        <w:numPr>
          <w:ilvl w:val="0"/>
          <w:numId w:val="1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Se actualiza </w:t>
      </w:r>
      <w:r w:rsidR="0007016C">
        <w:rPr>
          <w:rFonts w:ascii="Arial" w:eastAsia="Times" w:hAnsi="Arial" w:cs="Arial"/>
          <w:sz w:val="24"/>
          <w:szCs w:val="24"/>
          <w:lang w:val="es-ES_tradnl" w:eastAsia="es-ES"/>
        </w:rPr>
        <w:t xml:space="preserve">y publica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el padrón.</w:t>
      </w:r>
    </w:p>
    <w:p w:rsidR="000F10BC" w:rsidRPr="00655263" w:rsidRDefault="000F10BC">
      <w:pPr>
        <w:rPr>
          <w:rFonts w:ascii="Arial" w:eastAsia="Times" w:hAnsi="Arial" w:cs="Arial"/>
          <w:sz w:val="24"/>
          <w:szCs w:val="24"/>
          <w:lang w:val="es-ES_tradnl" w:eastAsia="es-ES"/>
        </w:rPr>
      </w:pPr>
    </w:p>
    <w:p w:rsidR="00655263" w:rsidRPr="00655263" w:rsidRDefault="00655263" w:rsidP="00655263">
      <w:pPr>
        <w:rPr>
          <w:rFonts w:ascii="Arial" w:eastAsia="Times" w:hAnsi="Arial" w:cs="Arial"/>
          <w:sz w:val="24"/>
          <w:szCs w:val="24"/>
          <w:lang w:val="es-ES_tradnl" w:eastAsia="es-ES"/>
        </w:rPr>
      </w:pPr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>Respecto a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l P</w:t>
      </w:r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>adrón de Poblaciones Beneficiarias en Áreas de Atención Social</w:t>
      </w:r>
      <w:r w:rsidR="00E902C5">
        <w:rPr>
          <w:rFonts w:ascii="Arial" w:eastAsia="Times" w:hAnsi="Arial" w:cs="Arial"/>
          <w:sz w:val="24"/>
          <w:szCs w:val="24"/>
          <w:lang w:val="es-ES_tradnl" w:eastAsia="es-ES"/>
        </w:rPr>
        <w:t xml:space="preserve"> (PPBAA)</w:t>
      </w:r>
      <w:r w:rsidR="00072758">
        <w:rPr>
          <w:rFonts w:ascii="Arial" w:eastAsia="Times" w:hAnsi="Arial" w:cs="Arial"/>
          <w:sz w:val="24"/>
          <w:szCs w:val="24"/>
          <w:lang w:val="es-ES_tradnl" w:eastAsia="es-ES"/>
        </w:rPr>
        <w:t xml:space="preserve"> es importante detallar</w:t>
      </w:r>
      <w:r w:rsidR="00C013E2">
        <w:rPr>
          <w:rFonts w:ascii="Arial" w:eastAsia="Times" w:hAnsi="Arial" w:cs="Arial"/>
          <w:sz w:val="24"/>
          <w:szCs w:val="24"/>
          <w:lang w:val="es-ES_tradnl" w:eastAsia="es-ES"/>
        </w:rPr>
        <w:t xml:space="preserve"> </w:t>
      </w:r>
      <w:r w:rsidR="00B84242">
        <w:rPr>
          <w:rFonts w:ascii="Arial" w:eastAsia="Times" w:hAnsi="Arial" w:cs="Arial"/>
          <w:sz w:val="24"/>
          <w:szCs w:val="24"/>
          <w:lang w:val="es-ES_tradnl" w:eastAsia="es-ES"/>
        </w:rPr>
        <w:t>la motivación para su integración</w:t>
      </w:r>
      <w:r w:rsidR="00072758">
        <w:rPr>
          <w:rFonts w:ascii="Arial" w:eastAsia="Times" w:hAnsi="Arial" w:cs="Arial"/>
          <w:sz w:val="24"/>
          <w:szCs w:val="24"/>
          <w:lang w:val="es-ES_tradnl" w:eastAsia="es-ES"/>
        </w:rPr>
        <w:t>. El PPBAA surge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e</w:t>
      </w:r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>n atención al ASM referente a elaborar un Padrón de Beneficiarios(as) congruente con la Población objetivo y conforme al lineamiento décimo para la integración del PUB, el cual establece que los Actores Sociales Intermediarios “También deberán conformar y entregar la información de Padrones de los Beneficiarios finales”; se elaboró un análisis de factibilidad para incorporar información a las estructuras de datos Personas Físicas y Poblaciones Beneficiarias en Áreas de Atención Social, en el cual se determina que esta última estructura se alinea a la normatividad en materia de protección de datos de víctimas en situación de violencia y a la operación del programa.</w:t>
      </w:r>
    </w:p>
    <w:p w:rsidR="00655263" w:rsidRPr="00655263" w:rsidRDefault="00655263" w:rsidP="00655263">
      <w:pPr>
        <w:rPr>
          <w:rFonts w:ascii="Arial" w:eastAsia="Times" w:hAnsi="Arial" w:cs="Arial"/>
          <w:sz w:val="24"/>
          <w:szCs w:val="24"/>
          <w:lang w:val="es-ES_tradnl" w:eastAsia="es-ES"/>
        </w:rPr>
      </w:pPr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>En seguimiento al ASM, el programa elaboró el Procedimiento para la Construcción y Actualización del Padrón de Poblaciones Beneficiarias en Áreas de Atención Social; derivado de la revisión de este documento se identifica que existe una clave de identificación de la Instancia Ejecutora (IMEF), la cual, al estar registrada en el catálogo C_EJECUTOR/DGGPB, permite su permanencia en el tiempo y la correspondencia entre los dos padrones del programa; la población final se informa de forma acumulada por acción a través de los campos CD_AP_TP_BENEFICIARIO, NU_ BENEF, NU_BENEF_HOM y NU_BENEF_HOM, lo cual permite asegurar la no revictimización de las personas víctimas directas o indirectas de violencia de género.</w:t>
      </w:r>
    </w:p>
    <w:p w:rsidR="00655263" w:rsidRPr="00655263" w:rsidRDefault="00655263" w:rsidP="00655263">
      <w:pPr>
        <w:rPr>
          <w:rFonts w:ascii="Arial" w:eastAsia="Times" w:hAnsi="Arial" w:cs="Arial"/>
          <w:sz w:val="24"/>
          <w:szCs w:val="24"/>
          <w:lang w:val="es-ES_tradnl" w:eastAsia="es-ES"/>
        </w:rPr>
      </w:pPr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 xml:space="preserve">Por otra parte, es posible identificar el tipo de beneficio, así como la inversión ejercida para cada uno de los beneficios (acciones), a través de los campos TIPO_INTERV, NB_OBRA, NU_INV_TOT_EJE, NU_INV_FED_EJE, NU_INV_EST_EJE Y NU_INV_MUN_EJE. </w:t>
      </w:r>
    </w:p>
    <w:p w:rsidR="00655263" w:rsidRDefault="00655263" w:rsidP="00655263">
      <w:pPr>
        <w:rPr>
          <w:rFonts w:ascii="Arial" w:eastAsia="Times" w:hAnsi="Arial" w:cs="Arial"/>
          <w:sz w:val="24"/>
          <w:szCs w:val="24"/>
          <w:lang w:val="es-ES_tradnl" w:eastAsia="es-ES"/>
        </w:rPr>
      </w:pPr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 xml:space="preserve">Conforme al procedimiento de construcción de este padrón, se </w:t>
      </w:r>
      <w:r w:rsidR="00527FF1">
        <w:rPr>
          <w:rFonts w:ascii="Arial" w:eastAsia="Times" w:hAnsi="Arial" w:cs="Arial"/>
          <w:sz w:val="24"/>
          <w:szCs w:val="24"/>
          <w:lang w:val="es-ES_tradnl" w:eastAsia="es-ES"/>
        </w:rPr>
        <w:t>solicitó</w:t>
      </w:r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 xml:space="preserve"> el registro </w:t>
      </w:r>
      <w:proofErr w:type="gramStart"/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>del mismo</w:t>
      </w:r>
      <w:proofErr w:type="gramEnd"/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 xml:space="preserve"> ante la DGGPB, a través del oficio D00140/011/2018, con lo que se obtuvo el registro 0748, mediante el oficio con número DGGPB/612/DGAIP/312/2018. Asimismo, el programa propuso valores para su adhesión a los catálogos oficiales para la integración del PUB, mismos que han sido dados de alta conforme al oficio DGGPB/612/DGAIP/765/2018.</w:t>
      </w:r>
    </w:p>
    <w:p w:rsidR="00C013E2" w:rsidRPr="00655263" w:rsidRDefault="00C013E2" w:rsidP="00655263">
      <w:pPr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En el </w:t>
      </w:r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>oficio D00140/011/2018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también se señalan los campos que no podrán contar con registros por no aplicar al PAIMEF siendo estos: CVEPROGRAMA; CD_AP_SUBPROG, CD_AP_DESCRIPCION, NU_VIVIENDAS y CD_INTRAPROGRAMA.  Además de los campos relacionados a la ubicación del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lastRenderedPageBreak/>
        <w:t>domicilio geográfico de los servicios de atención especializada que proporcionan las IMEF en el marco del PAIMEF</w:t>
      </w:r>
      <w:r w:rsidR="00001690">
        <w:rPr>
          <w:rFonts w:ascii="Arial" w:eastAsia="Times" w:hAnsi="Arial" w:cs="Arial"/>
          <w:sz w:val="24"/>
          <w:szCs w:val="24"/>
          <w:lang w:val="es-ES_tradnl" w:eastAsia="es-ES"/>
        </w:rPr>
        <w:t xml:space="preserve">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(campos 31 a 58).</w:t>
      </w:r>
    </w:p>
    <w:p w:rsidR="00655263" w:rsidRDefault="00655263">
      <w:pPr>
        <w:rPr>
          <w:rFonts w:ascii="Arial" w:eastAsia="Times" w:hAnsi="Arial" w:cs="Arial"/>
          <w:sz w:val="24"/>
          <w:szCs w:val="24"/>
          <w:lang w:val="es-ES_tradnl" w:eastAsia="es-ES"/>
        </w:rPr>
      </w:pPr>
      <w:r w:rsidRPr="00655263">
        <w:rPr>
          <w:rFonts w:ascii="Arial" w:eastAsia="Times" w:hAnsi="Arial" w:cs="Arial"/>
          <w:sz w:val="24"/>
          <w:szCs w:val="24"/>
          <w:lang w:val="es-ES_tradnl" w:eastAsia="es-ES"/>
        </w:rPr>
        <w:t>Finalmente, es importante destacar que, de acuerdo con los procedimientos para la construcción del padrón y el calendario de entregas para el cumplimiento de ese ASM, el Programa ha cumplido en tiempo y forma con cada una de las etapas. Es decir, ya existe un padrón registrado; el envío de la información correspondiente al ejercicio 2018 está comprometido con la DGGPB para febrero 2019.</w:t>
      </w:r>
    </w:p>
    <w:p w:rsidR="00E902C5" w:rsidRDefault="00072758">
      <w:pPr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Por tanto, </w:t>
      </w:r>
      <w:r w:rsidR="00E902C5">
        <w:rPr>
          <w:rFonts w:ascii="Arial" w:eastAsia="Times" w:hAnsi="Arial" w:cs="Arial"/>
          <w:sz w:val="24"/>
          <w:szCs w:val="24"/>
          <w:lang w:val="es-ES_tradnl" w:eastAsia="es-ES"/>
        </w:rPr>
        <w:t xml:space="preserve">a partir de la entrega del </w:t>
      </w:r>
      <w:r w:rsidR="00E902C5">
        <w:rPr>
          <w:rFonts w:ascii="Arial" w:eastAsia="Times" w:hAnsi="Arial" w:cs="Arial"/>
          <w:sz w:val="24"/>
          <w:szCs w:val="24"/>
          <w:lang w:val="es-ES_tradnl" w:eastAsia="es-ES"/>
        </w:rPr>
        <w:t>PPBAA</w:t>
      </w:r>
      <w:r w:rsidR="00E902C5">
        <w:rPr>
          <w:rFonts w:ascii="Arial" w:eastAsia="Times" w:hAnsi="Arial" w:cs="Arial"/>
          <w:sz w:val="24"/>
          <w:szCs w:val="24"/>
          <w:lang w:val="es-ES_tradnl" w:eastAsia="es-ES"/>
        </w:rPr>
        <w:t xml:space="preserve"> correspondiente al ejercicio 2018, este se deberá actualizar anualmente con base a los lineamientos del PUB. </w:t>
      </w:r>
      <w:r w:rsidR="00296C82">
        <w:rPr>
          <w:rFonts w:ascii="Arial" w:eastAsia="Times" w:hAnsi="Arial" w:cs="Arial"/>
          <w:sz w:val="24"/>
          <w:szCs w:val="24"/>
          <w:lang w:val="es-ES_tradnl" w:eastAsia="es-ES"/>
        </w:rPr>
        <w:t>La estructura del</w:t>
      </w:r>
      <w:r w:rsidR="00B435C5">
        <w:rPr>
          <w:rFonts w:ascii="Arial" w:eastAsia="Times" w:hAnsi="Arial" w:cs="Arial"/>
          <w:sz w:val="24"/>
          <w:szCs w:val="24"/>
          <w:lang w:val="es-ES_tradnl" w:eastAsia="es-ES"/>
        </w:rPr>
        <w:t xml:space="preserve"> PPBAA se integra con información d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e</w:t>
      </w:r>
      <w:r w:rsidR="00B435C5">
        <w:rPr>
          <w:rFonts w:ascii="Arial" w:eastAsia="Times" w:hAnsi="Arial" w:cs="Arial"/>
          <w:sz w:val="24"/>
          <w:szCs w:val="24"/>
          <w:lang w:val="es-ES_tradnl" w:eastAsia="es-ES"/>
        </w:rPr>
        <w:t xml:space="preserve">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l</w:t>
      </w:r>
      <w:r w:rsidR="00B435C5">
        <w:rPr>
          <w:rFonts w:ascii="Arial" w:eastAsia="Times" w:hAnsi="Arial" w:cs="Arial"/>
          <w:sz w:val="24"/>
          <w:szCs w:val="24"/>
          <w:lang w:val="es-ES_tradnl" w:eastAsia="es-ES"/>
        </w:rPr>
        <w:t>os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informe</w:t>
      </w:r>
      <w:r w:rsidR="00B435C5">
        <w:rPr>
          <w:rFonts w:ascii="Arial" w:eastAsia="Times" w:hAnsi="Arial" w:cs="Arial"/>
          <w:sz w:val="24"/>
          <w:szCs w:val="24"/>
          <w:lang w:val="es-ES_tradnl" w:eastAsia="es-ES"/>
        </w:rPr>
        <w:t>s</w:t>
      </w:r>
      <w:r w:rsidR="00E902C5">
        <w:rPr>
          <w:rFonts w:ascii="Arial" w:eastAsia="Times" w:hAnsi="Arial" w:cs="Arial"/>
          <w:sz w:val="24"/>
          <w:szCs w:val="24"/>
          <w:lang w:val="es-ES_tradnl" w:eastAsia="es-ES"/>
        </w:rPr>
        <w:t xml:space="preserve"> final</w:t>
      </w:r>
      <w:r w:rsidR="00B435C5">
        <w:rPr>
          <w:rFonts w:ascii="Arial" w:eastAsia="Times" w:hAnsi="Arial" w:cs="Arial"/>
          <w:sz w:val="24"/>
          <w:szCs w:val="24"/>
          <w:lang w:val="es-ES_tradnl" w:eastAsia="es-ES"/>
        </w:rPr>
        <w:t>es</w:t>
      </w:r>
      <w:r w:rsidR="00E902C5">
        <w:rPr>
          <w:rFonts w:ascii="Arial" w:eastAsia="Times" w:hAnsi="Arial" w:cs="Arial"/>
          <w:sz w:val="24"/>
          <w:szCs w:val="24"/>
          <w:lang w:val="es-ES_tradnl" w:eastAsia="es-ES"/>
        </w:rPr>
        <w:t xml:space="preserve"> </w:t>
      </w:r>
      <w:r w:rsidR="00B435C5">
        <w:rPr>
          <w:rFonts w:ascii="Arial" w:eastAsia="Times" w:hAnsi="Arial" w:cs="Arial"/>
          <w:sz w:val="24"/>
          <w:szCs w:val="24"/>
          <w:lang w:val="es-ES_tradnl" w:eastAsia="es-ES"/>
        </w:rPr>
        <w:t xml:space="preserve">de los </w:t>
      </w:r>
      <w:r w:rsidR="00E902C5">
        <w:rPr>
          <w:rFonts w:ascii="Arial" w:eastAsia="Times" w:hAnsi="Arial" w:cs="Arial"/>
          <w:sz w:val="24"/>
          <w:szCs w:val="24"/>
          <w:lang w:val="es-ES_tradnl" w:eastAsia="es-ES"/>
        </w:rPr>
        <w:t>Programas Anuales</w:t>
      </w:r>
      <w:r w:rsidR="00B435C5">
        <w:rPr>
          <w:rFonts w:ascii="Arial" w:eastAsia="Times" w:hAnsi="Arial" w:cs="Arial"/>
          <w:sz w:val="24"/>
          <w:szCs w:val="24"/>
          <w:lang w:val="es-ES_tradnl" w:eastAsia="es-ES"/>
        </w:rPr>
        <w:t xml:space="preserve"> </w:t>
      </w:r>
      <w:r w:rsidR="00296C82">
        <w:rPr>
          <w:rFonts w:ascii="Arial" w:eastAsia="Times" w:hAnsi="Arial" w:cs="Arial"/>
          <w:sz w:val="24"/>
          <w:szCs w:val="24"/>
          <w:lang w:val="es-ES_tradnl" w:eastAsia="es-ES"/>
        </w:rPr>
        <w:t xml:space="preserve">ejecutados </w:t>
      </w:r>
      <w:r w:rsidR="00B435C5">
        <w:rPr>
          <w:rFonts w:ascii="Arial" w:eastAsia="Times" w:hAnsi="Arial" w:cs="Arial"/>
          <w:sz w:val="24"/>
          <w:szCs w:val="24"/>
          <w:lang w:val="es-ES_tradnl" w:eastAsia="es-ES"/>
        </w:rPr>
        <w:t>por cada IMEF.</w:t>
      </w:r>
      <w:r w:rsidR="00E902C5">
        <w:rPr>
          <w:rFonts w:ascii="Arial" w:eastAsia="Times" w:hAnsi="Arial" w:cs="Arial"/>
          <w:sz w:val="24"/>
          <w:szCs w:val="24"/>
          <w:lang w:val="es-ES_tradnl" w:eastAsia="es-ES"/>
        </w:rPr>
        <w:t xml:space="preserve"> </w:t>
      </w:r>
      <w:r w:rsidR="00296C82">
        <w:rPr>
          <w:rFonts w:ascii="Arial" w:eastAsia="Times" w:hAnsi="Arial" w:cs="Arial"/>
          <w:sz w:val="24"/>
          <w:szCs w:val="24"/>
          <w:lang w:val="es-ES_tradnl" w:eastAsia="es-ES"/>
        </w:rPr>
        <w:t>En estos informes se reportan los resultados de</w:t>
      </w:r>
      <w:r w:rsidR="00296C82">
        <w:rPr>
          <w:rFonts w:ascii="Arial" w:eastAsia="Times" w:hAnsi="Arial" w:cs="Arial"/>
          <w:sz w:val="24"/>
          <w:szCs w:val="24"/>
          <w:lang w:val="es-ES_tradnl" w:eastAsia="es-ES"/>
        </w:rPr>
        <w:t xml:space="preserve"> las acciones </w:t>
      </w:r>
      <w:r w:rsidR="00E902C5">
        <w:rPr>
          <w:rFonts w:ascii="Arial" w:eastAsia="Times" w:hAnsi="Arial" w:cs="Arial"/>
          <w:sz w:val="24"/>
          <w:szCs w:val="24"/>
          <w:lang w:val="es-ES_tradnl" w:eastAsia="es-ES"/>
        </w:rPr>
        <w:t>para la prevención y atención de la violencia contra las mujeres</w:t>
      </w:r>
      <w:r w:rsidR="00296C82">
        <w:rPr>
          <w:rFonts w:ascii="Arial" w:eastAsia="Times" w:hAnsi="Arial" w:cs="Arial"/>
          <w:sz w:val="24"/>
          <w:szCs w:val="24"/>
          <w:lang w:val="es-ES_tradnl" w:eastAsia="es-ES"/>
        </w:rPr>
        <w:t xml:space="preserve">, las cuales </w:t>
      </w:r>
      <w:r w:rsidR="00E902C5">
        <w:rPr>
          <w:rFonts w:ascii="Arial" w:eastAsia="Times" w:hAnsi="Arial" w:cs="Arial"/>
          <w:sz w:val="24"/>
          <w:szCs w:val="24"/>
          <w:lang w:val="es-ES_tradnl" w:eastAsia="es-ES"/>
        </w:rPr>
        <w:t xml:space="preserve">se consideran servicios concluidos hasta el cierre de la operación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de los Programas</w:t>
      </w:r>
      <w:r w:rsidR="006F2B95">
        <w:rPr>
          <w:rFonts w:ascii="Arial" w:eastAsia="Times" w:hAnsi="Arial" w:cs="Arial"/>
          <w:sz w:val="24"/>
          <w:szCs w:val="24"/>
          <w:lang w:val="es-ES_tradnl" w:eastAsia="es-ES"/>
        </w:rPr>
        <w:t xml:space="preserve"> (término del ejercicio fiscal)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.</w:t>
      </w:r>
    </w:p>
    <w:p w:rsidR="00072758" w:rsidRDefault="00072758">
      <w:pPr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>Así el procedimiento para</w:t>
      </w:r>
      <w:r w:rsidR="0040441C">
        <w:rPr>
          <w:rFonts w:ascii="Arial" w:eastAsia="Times" w:hAnsi="Arial" w:cs="Arial"/>
          <w:sz w:val="24"/>
          <w:szCs w:val="24"/>
          <w:lang w:val="es-ES_tradnl" w:eastAsia="es-ES"/>
        </w:rPr>
        <w:t xml:space="preserve"> actualizar el PPBAA es:</w:t>
      </w:r>
    </w:p>
    <w:p w:rsidR="0097371B" w:rsidRDefault="0097371B" w:rsidP="00276486">
      <w:pPr>
        <w:pStyle w:val="Prrafodelista"/>
        <w:numPr>
          <w:ilvl w:val="0"/>
          <w:numId w:val="3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La Unidad Administrativa del PAIMEF deberá nombrar a un </w:t>
      </w:r>
      <w:proofErr w:type="gramStart"/>
      <w:r>
        <w:rPr>
          <w:rFonts w:ascii="Arial" w:eastAsia="Times" w:hAnsi="Arial" w:cs="Arial"/>
          <w:sz w:val="24"/>
          <w:szCs w:val="24"/>
          <w:lang w:val="es-ES_tradnl" w:eastAsia="es-ES"/>
        </w:rPr>
        <w:t>Responsable</w:t>
      </w:r>
      <w:proofErr w:type="gramEnd"/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y un Enlace Operativo ante la </w:t>
      </w:r>
      <w:r w:rsidRPr="00AD4FE2">
        <w:rPr>
          <w:rFonts w:ascii="Arial" w:eastAsia="Times" w:hAnsi="Arial" w:cs="Arial"/>
          <w:sz w:val="24"/>
          <w:szCs w:val="24"/>
          <w:lang w:val="es-ES_tradnl" w:eastAsia="es-ES"/>
        </w:rPr>
        <w:t>Dirección General de Geoestadística y Padrones de Beneficiarios de la Secretaría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(DGGPB) para la integración y actualización del padrón de beneficiarios.</w:t>
      </w:r>
    </w:p>
    <w:p w:rsidR="0097371B" w:rsidRDefault="0097371B" w:rsidP="00276486">
      <w:pPr>
        <w:pStyle w:val="Prrafodelista"/>
        <w:numPr>
          <w:ilvl w:val="0"/>
          <w:numId w:val="3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>A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l cierre del ejercicio fiscal </w:t>
      </w:r>
      <w:r w:rsidRPr="00012604">
        <w:rPr>
          <w:rFonts w:ascii="Arial" w:eastAsia="Times" w:hAnsi="Arial" w:cs="Arial"/>
          <w:sz w:val="24"/>
          <w:szCs w:val="24"/>
          <w:lang w:val="es-ES_tradnl" w:eastAsia="es-ES"/>
        </w:rPr>
        <w:t xml:space="preserve">se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construye o </w:t>
      </w:r>
      <w:r w:rsidRPr="00012604">
        <w:rPr>
          <w:rFonts w:ascii="Arial" w:eastAsia="Times" w:hAnsi="Arial" w:cs="Arial"/>
          <w:sz w:val="24"/>
          <w:szCs w:val="24"/>
          <w:lang w:val="es-ES_tradnl" w:eastAsia="es-ES"/>
        </w:rPr>
        <w:t xml:space="preserve">actualiza el padrón de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PPBAA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, es decir, a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nualmente.</w:t>
      </w:r>
    </w:p>
    <w:p w:rsidR="0097371B" w:rsidRDefault="0097371B" w:rsidP="00276486">
      <w:pPr>
        <w:pStyle w:val="Prrafodelista"/>
        <w:numPr>
          <w:ilvl w:val="0"/>
          <w:numId w:val="3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En caso de cualquier modificación sobre la designación del </w:t>
      </w:r>
      <w:proofErr w:type="gramStart"/>
      <w:r>
        <w:rPr>
          <w:rFonts w:ascii="Arial" w:eastAsia="Times" w:hAnsi="Arial" w:cs="Arial"/>
          <w:sz w:val="24"/>
          <w:szCs w:val="24"/>
          <w:lang w:val="es-ES_tradnl" w:eastAsia="es-ES"/>
        </w:rPr>
        <w:t>Responsable</w:t>
      </w:r>
      <w:proofErr w:type="gramEnd"/>
      <w:r>
        <w:rPr>
          <w:rFonts w:ascii="Arial" w:eastAsia="Times" w:hAnsi="Arial" w:cs="Arial"/>
          <w:sz w:val="24"/>
          <w:szCs w:val="24"/>
          <w:lang w:val="es-ES_tradnl" w:eastAsia="es-ES"/>
        </w:rPr>
        <w:t>, se deberá informar dentro de los 20 días hábiles siguientes de ocurrida la modificación, o antes del envío del siguiente padrón en cuestión, lo que ocurra primero.</w:t>
      </w:r>
    </w:p>
    <w:p w:rsidR="0097371B" w:rsidRPr="00014D9E" w:rsidRDefault="0097371B" w:rsidP="00276486">
      <w:pPr>
        <w:pStyle w:val="Prrafodelista"/>
        <w:numPr>
          <w:ilvl w:val="0"/>
          <w:numId w:val="3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El </w:t>
      </w:r>
      <w:proofErr w:type="gramStart"/>
      <w:r>
        <w:rPr>
          <w:rFonts w:ascii="Arial" w:eastAsia="Times" w:hAnsi="Arial" w:cs="Arial"/>
          <w:sz w:val="24"/>
          <w:szCs w:val="24"/>
          <w:lang w:val="es-ES_tradnl" w:eastAsia="es-ES"/>
        </w:rPr>
        <w:t>Responsable</w:t>
      </w:r>
      <w:proofErr w:type="gramEnd"/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actualiza los catálogos de la DGGPB correspondientes en caso de ser necesario.</w:t>
      </w:r>
    </w:p>
    <w:p w:rsidR="0097371B" w:rsidRDefault="0097371B" w:rsidP="00276486">
      <w:pPr>
        <w:pStyle w:val="Prrafodelista"/>
        <w:numPr>
          <w:ilvl w:val="0"/>
          <w:numId w:val="3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Se entrega la información </w:t>
      </w:r>
      <w:r w:rsidR="00276486">
        <w:rPr>
          <w:rFonts w:ascii="Arial" w:eastAsia="Times" w:hAnsi="Arial" w:cs="Arial"/>
          <w:sz w:val="24"/>
          <w:szCs w:val="24"/>
          <w:lang w:val="es-ES_tradnl" w:eastAsia="es-ES"/>
        </w:rPr>
        <w:t>que es factible presentar</w:t>
      </w:r>
      <w:r w:rsidRPr="00140DB4">
        <w:rPr>
          <w:rFonts w:ascii="Arial" w:eastAsia="Times" w:hAnsi="Arial" w:cs="Arial"/>
          <w:sz w:val="24"/>
          <w:szCs w:val="24"/>
          <w:lang w:val="es-ES_tradnl" w:eastAsia="es-ES"/>
        </w:rPr>
        <w:t xml:space="preserve"> de los</w:t>
      </w:r>
      <w:r w:rsidR="00276486">
        <w:rPr>
          <w:rFonts w:ascii="Arial" w:eastAsia="Times" w:hAnsi="Arial" w:cs="Arial"/>
          <w:sz w:val="24"/>
          <w:szCs w:val="24"/>
          <w:lang w:val="es-ES_tradnl" w:eastAsia="es-ES"/>
        </w:rPr>
        <w:t xml:space="preserve"> 58</w:t>
      </w:r>
      <w:r w:rsidRPr="00140DB4">
        <w:rPr>
          <w:rFonts w:ascii="Arial" w:eastAsia="Times" w:hAnsi="Arial" w:cs="Arial"/>
          <w:sz w:val="24"/>
          <w:szCs w:val="24"/>
          <w:lang w:val="es-ES_tradnl" w:eastAsia="es-ES"/>
        </w:rPr>
        <w:t xml:space="preserve"> campos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del </w:t>
      </w:r>
      <w:r w:rsidR="00276486">
        <w:rPr>
          <w:rFonts w:ascii="Arial" w:eastAsia="Times" w:hAnsi="Arial" w:cs="Arial"/>
          <w:sz w:val="24"/>
          <w:szCs w:val="24"/>
          <w:lang w:val="es-ES_tradnl" w:eastAsia="es-ES"/>
        </w:rPr>
        <w:t>P</w:t>
      </w:r>
      <w:r w:rsidR="00276486" w:rsidRPr="00655263">
        <w:rPr>
          <w:rFonts w:ascii="Arial" w:eastAsia="Times" w:hAnsi="Arial" w:cs="Arial"/>
          <w:sz w:val="24"/>
          <w:szCs w:val="24"/>
          <w:lang w:val="es-ES_tradnl" w:eastAsia="es-ES"/>
        </w:rPr>
        <w:t>adrón de Poblaciones Beneficiarias en Áreas de Atención Social</w:t>
      </w:r>
      <w:r w:rsidR="00276486">
        <w:rPr>
          <w:rFonts w:ascii="Arial" w:eastAsia="Times" w:hAnsi="Arial" w:cs="Arial"/>
          <w:sz w:val="24"/>
          <w:szCs w:val="24"/>
          <w:lang w:val="es-ES_tradnl" w:eastAsia="es-ES"/>
        </w:rPr>
        <w:t xml:space="preserve"> (PPBAA)</w:t>
      </w:r>
      <w:r w:rsidRPr="00140DB4">
        <w:rPr>
          <w:rStyle w:val="Refdenotaalpie"/>
          <w:rFonts w:ascii="Arial" w:eastAsia="Times" w:hAnsi="Arial" w:cs="Arial"/>
          <w:sz w:val="24"/>
          <w:szCs w:val="24"/>
          <w:lang w:val="es-ES_tradnl" w:eastAsia="es-ES"/>
        </w:rPr>
        <w:footnoteReference w:id="2"/>
      </w:r>
      <w:r w:rsidRPr="00140DB4">
        <w:rPr>
          <w:rFonts w:ascii="Arial" w:eastAsia="Times" w:hAnsi="Arial" w:cs="Arial"/>
          <w:sz w:val="24"/>
          <w:szCs w:val="24"/>
          <w:lang w:val="es-ES_tradnl" w:eastAsia="es-ES"/>
        </w:rPr>
        <w:t xml:space="preserve"> del PAIMEF 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a la DGGPB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en un plazo no </w:t>
      </w:r>
      <w:r w:rsidR="00832559">
        <w:rPr>
          <w:rFonts w:ascii="Arial" w:eastAsia="Times" w:hAnsi="Arial" w:cs="Arial"/>
          <w:sz w:val="24"/>
          <w:szCs w:val="24"/>
          <w:lang w:val="es-ES_tradnl" w:eastAsia="es-ES"/>
        </w:rPr>
        <w:t>may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or a 40 días hábiles posteriores al cierre del ejercicio fiscal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>.</w:t>
      </w:r>
    </w:p>
    <w:p w:rsidR="0097371B" w:rsidRDefault="0097371B" w:rsidP="00276486">
      <w:pPr>
        <w:pStyle w:val="Prrafodelista"/>
        <w:numPr>
          <w:ilvl w:val="0"/>
          <w:numId w:val="3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>La DGGPB verifica que la información cumpla con los requerimientos establecidos en los Lineamientos para la integración del PUB.</w:t>
      </w:r>
    </w:p>
    <w:p w:rsidR="0097371B" w:rsidRPr="00012604" w:rsidRDefault="0097371B" w:rsidP="00276486">
      <w:pPr>
        <w:pStyle w:val="Prrafodelista"/>
        <w:numPr>
          <w:ilvl w:val="0"/>
          <w:numId w:val="3"/>
        </w:numPr>
        <w:spacing w:after="0"/>
        <w:jc w:val="both"/>
        <w:rPr>
          <w:rFonts w:ascii="Arial" w:eastAsia="Times" w:hAnsi="Arial" w:cs="Arial"/>
          <w:sz w:val="24"/>
          <w:szCs w:val="24"/>
          <w:lang w:val="es-ES_tradnl" w:eastAsia="es-ES"/>
        </w:rPr>
      </w:pPr>
      <w:r>
        <w:rPr>
          <w:rFonts w:ascii="Arial" w:eastAsia="Times" w:hAnsi="Arial" w:cs="Arial"/>
          <w:sz w:val="24"/>
          <w:szCs w:val="24"/>
          <w:lang w:val="es-ES_tradnl" w:eastAsia="es-ES"/>
        </w:rPr>
        <w:t>Se actualiza</w:t>
      </w:r>
      <w:r w:rsidR="0007016C">
        <w:rPr>
          <w:rFonts w:ascii="Arial" w:eastAsia="Times" w:hAnsi="Arial" w:cs="Arial"/>
          <w:sz w:val="24"/>
          <w:szCs w:val="24"/>
          <w:lang w:val="es-ES_tradnl" w:eastAsia="es-ES"/>
        </w:rPr>
        <w:t xml:space="preserve"> y publica</w:t>
      </w:r>
      <w:r>
        <w:rPr>
          <w:rFonts w:ascii="Arial" w:eastAsia="Times" w:hAnsi="Arial" w:cs="Arial"/>
          <w:sz w:val="24"/>
          <w:szCs w:val="24"/>
          <w:lang w:val="es-ES_tradnl" w:eastAsia="es-ES"/>
        </w:rPr>
        <w:t xml:space="preserve"> el padrón.</w:t>
      </w:r>
    </w:p>
    <w:p w:rsidR="0097371B" w:rsidRPr="00655263" w:rsidRDefault="0097371B">
      <w:pPr>
        <w:rPr>
          <w:rFonts w:ascii="Arial" w:eastAsia="Times" w:hAnsi="Arial" w:cs="Arial"/>
          <w:sz w:val="24"/>
          <w:szCs w:val="24"/>
          <w:lang w:val="es-ES_tradnl" w:eastAsia="es-ES"/>
        </w:rPr>
      </w:pPr>
    </w:p>
    <w:sectPr w:rsidR="0097371B" w:rsidRPr="00655263" w:rsidSect="00893CF5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F1F" w:rsidRDefault="00960F1F" w:rsidP="00202428">
      <w:pPr>
        <w:spacing w:after="0" w:line="240" w:lineRule="auto"/>
      </w:pPr>
      <w:r>
        <w:separator/>
      </w:r>
    </w:p>
  </w:endnote>
  <w:endnote w:type="continuationSeparator" w:id="0">
    <w:p w:rsidR="00960F1F" w:rsidRDefault="00960F1F" w:rsidP="00202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F1F" w:rsidRDefault="00960F1F" w:rsidP="00202428">
      <w:pPr>
        <w:spacing w:after="0" w:line="240" w:lineRule="auto"/>
      </w:pPr>
      <w:r>
        <w:separator/>
      </w:r>
    </w:p>
  </w:footnote>
  <w:footnote w:type="continuationSeparator" w:id="0">
    <w:p w:rsidR="00960F1F" w:rsidRDefault="00960F1F" w:rsidP="00202428">
      <w:pPr>
        <w:spacing w:after="0" w:line="240" w:lineRule="auto"/>
      </w:pPr>
      <w:r>
        <w:continuationSeparator/>
      </w:r>
    </w:p>
  </w:footnote>
  <w:footnote w:id="1">
    <w:p w:rsidR="00202428" w:rsidRPr="00DF638F" w:rsidRDefault="00202428" w:rsidP="00202428">
      <w:pPr>
        <w:pStyle w:val="Textonotapie"/>
        <w:ind w:left="57"/>
        <w:jc w:val="both"/>
      </w:pPr>
      <w:r>
        <w:rPr>
          <w:rStyle w:val="Refdenotaalpie"/>
        </w:rPr>
        <w:footnoteRef/>
      </w:r>
      <w:r w:rsidRPr="007960D1">
        <w:rPr>
          <w:rFonts w:ascii="Arial" w:hAnsi="Arial" w:cs="Arial"/>
        </w:rPr>
        <w:t xml:space="preserve">Diario Oficial de la Federación. </w:t>
      </w:r>
      <w:r>
        <w:rPr>
          <w:rFonts w:ascii="Arial" w:hAnsi="Arial" w:cs="Arial"/>
        </w:rPr>
        <w:t>Primera</w:t>
      </w:r>
      <w:r w:rsidRPr="007960D1">
        <w:rPr>
          <w:rFonts w:ascii="Arial" w:hAnsi="Arial" w:cs="Arial"/>
        </w:rPr>
        <w:t xml:space="preserve"> Sección. Secretaría de Desarrollo</w:t>
      </w:r>
      <w:r>
        <w:rPr>
          <w:rFonts w:ascii="Arial" w:hAnsi="Arial" w:cs="Arial"/>
        </w:rPr>
        <w:t xml:space="preserve"> Social. 9 de febrero de 2017</w:t>
      </w:r>
      <w:r w:rsidRPr="007960D1">
        <w:rPr>
          <w:rFonts w:ascii="Arial" w:hAnsi="Arial" w:cs="Arial"/>
        </w:rPr>
        <w:t xml:space="preserve">. </w:t>
      </w:r>
      <w:r>
        <w:rPr>
          <w:rFonts w:ascii="Arial" w:eastAsia="MS Mincho" w:hAnsi="Arial" w:cs="Arial"/>
          <w:bCs/>
        </w:rPr>
        <w:t>Lineamientos para la integración del Padrón Único de Beneficiarios.</w:t>
      </w:r>
    </w:p>
  </w:footnote>
  <w:footnote w:id="2">
    <w:p w:rsidR="0097371B" w:rsidRPr="00DF638F" w:rsidRDefault="0097371B" w:rsidP="0097371B">
      <w:pPr>
        <w:pStyle w:val="Textonotapie"/>
        <w:ind w:left="57"/>
        <w:jc w:val="both"/>
      </w:pPr>
      <w:r>
        <w:rPr>
          <w:rStyle w:val="Refdenotaalpie"/>
        </w:rPr>
        <w:footnoteRef/>
      </w:r>
      <w:r w:rsidRPr="007960D1">
        <w:rPr>
          <w:rFonts w:ascii="Arial" w:hAnsi="Arial" w:cs="Arial"/>
        </w:rPr>
        <w:t xml:space="preserve">Diario Oficial de la Federación. </w:t>
      </w:r>
      <w:r>
        <w:rPr>
          <w:rFonts w:ascii="Arial" w:hAnsi="Arial" w:cs="Arial"/>
        </w:rPr>
        <w:t>Primera</w:t>
      </w:r>
      <w:r w:rsidRPr="007960D1">
        <w:rPr>
          <w:rFonts w:ascii="Arial" w:hAnsi="Arial" w:cs="Arial"/>
        </w:rPr>
        <w:t xml:space="preserve"> Sección. Secretaría de Desarrollo</w:t>
      </w:r>
      <w:r>
        <w:rPr>
          <w:rFonts w:ascii="Arial" w:hAnsi="Arial" w:cs="Arial"/>
        </w:rPr>
        <w:t xml:space="preserve"> Social. 9 de febrero de 2017</w:t>
      </w:r>
      <w:r w:rsidRPr="007960D1">
        <w:rPr>
          <w:rFonts w:ascii="Arial" w:hAnsi="Arial" w:cs="Arial"/>
        </w:rPr>
        <w:t xml:space="preserve">. </w:t>
      </w:r>
      <w:r>
        <w:rPr>
          <w:rFonts w:ascii="Arial" w:eastAsia="MS Mincho" w:hAnsi="Arial" w:cs="Arial"/>
          <w:bCs/>
        </w:rPr>
        <w:t xml:space="preserve">Lineamientos para la integración del </w:t>
      </w:r>
      <w:bookmarkStart w:id="1" w:name="_GoBack"/>
      <w:bookmarkEnd w:id="1"/>
      <w:r>
        <w:rPr>
          <w:rFonts w:ascii="Arial" w:eastAsia="MS Mincho" w:hAnsi="Arial" w:cs="Arial"/>
          <w:bCs/>
        </w:rPr>
        <w:t>Padrón Único de Beneficiarios.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C5293"/>
    <w:multiLevelType w:val="hybridMultilevel"/>
    <w:tmpl w:val="DA06D65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105D"/>
    <w:multiLevelType w:val="hybridMultilevel"/>
    <w:tmpl w:val="DA06D65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359D6"/>
    <w:multiLevelType w:val="hybridMultilevel"/>
    <w:tmpl w:val="DA06D65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428"/>
    <w:rsid w:val="00001690"/>
    <w:rsid w:val="00014D9E"/>
    <w:rsid w:val="0007016C"/>
    <w:rsid w:val="00072758"/>
    <w:rsid w:val="00097DF4"/>
    <w:rsid w:val="000D1581"/>
    <w:rsid w:val="000F10BC"/>
    <w:rsid w:val="00202428"/>
    <w:rsid w:val="00276486"/>
    <w:rsid w:val="00296C82"/>
    <w:rsid w:val="002C16AA"/>
    <w:rsid w:val="0040441C"/>
    <w:rsid w:val="004E00D7"/>
    <w:rsid w:val="00527FF1"/>
    <w:rsid w:val="00655263"/>
    <w:rsid w:val="006F2B95"/>
    <w:rsid w:val="007528AF"/>
    <w:rsid w:val="00806F19"/>
    <w:rsid w:val="00832559"/>
    <w:rsid w:val="0089286E"/>
    <w:rsid w:val="00893CF5"/>
    <w:rsid w:val="00960F1F"/>
    <w:rsid w:val="0097371B"/>
    <w:rsid w:val="00A15F8F"/>
    <w:rsid w:val="00A46F54"/>
    <w:rsid w:val="00B435C5"/>
    <w:rsid w:val="00B84242"/>
    <w:rsid w:val="00C013E2"/>
    <w:rsid w:val="00C3230E"/>
    <w:rsid w:val="00E077D8"/>
    <w:rsid w:val="00E26D26"/>
    <w:rsid w:val="00E7326F"/>
    <w:rsid w:val="00E902C5"/>
    <w:rsid w:val="00F0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59782"/>
  <w15:docId w15:val="{DFF17F28-467A-4C40-97FD-ADC14687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242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202428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20242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0242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202428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202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1055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Andreita</dc:creator>
  <cp:lastModifiedBy>Usuario de Windows</cp:lastModifiedBy>
  <cp:revision>17</cp:revision>
  <dcterms:created xsi:type="dcterms:W3CDTF">2018-05-12T22:40:00Z</dcterms:created>
  <dcterms:modified xsi:type="dcterms:W3CDTF">2018-06-21T08:43:00Z</dcterms:modified>
</cp:coreProperties>
</file>